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41" w:type="dxa"/>
        <w:tblLayout w:type="fixed"/>
        <w:tblLook w:val="0000"/>
      </w:tblPr>
      <w:tblGrid>
        <w:gridCol w:w="9141"/>
      </w:tblGrid>
      <w:tr w:rsidR="00C56022" w:rsidRPr="00475DB8" w:rsidTr="00DF2900">
        <w:trPr>
          <w:trHeight w:val="1411"/>
        </w:trPr>
        <w:tc>
          <w:tcPr>
            <w:tcW w:w="9141" w:type="dxa"/>
          </w:tcPr>
          <w:p w:rsidR="00560031" w:rsidRPr="003B56C8" w:rsidRDefault="00560031" w:rsidP="00560031">
            <w:pPr>
              <w:spacing w:before="120" w:after="120" w:line="240" w:lineRule="auto"/>
              <w:ind w:firstLine="709"/>
              <w:jc w:val="center"/>
              <w:rPr>
                <w:b/>
                <w:sz w:val="28"/>
                <w:szCs w:val="28"/>
              </w:rPr>
            </w:pPr>
            <w:r w:rsidRPr="003B56C8">
              <w:rPr>
                <w:b/>
                <w:sz w:val="28"/>
                <w:szCs w:val="28"/>
              </w:rPr>
              <w:t>Ý KIẾN GIẢI TRÌNH</w:t>
            </w:r>
          </w:p>
          <w:p w:rsidR="00560031" w:rsidRPr="003B56C8" w:rsidRDefault="00560031" w:rsidP="00560031">
            <w:pPr>
              <w:spacing w:after="120" w:line="240" w:lineRule="auto"/>
              <w:jc w:val="center"/>
              <w:rPr>
                <w:b/>
                <w:sz w:val="28"/>
                <w:szCs w:val="28"/>
              </w:rPr>
            </w:pPr>
            <w:r w:rsidRPr="003B56C8">
              <w:rPr>
                <w:b/>
                <w:sz w:val="28"/>
                <w:szCs w:val="28"/>
              </w:rPr>
              <w:t xml:space="preserve">Các kiến nghị của Đoàn giám sát Quốc hội về việc thực hiện </w:t>
            </w:r>
            <w:r>
              <w:rPr>
                <w:b/>
                <w:sz w:val="28"/>
                <w:szCs w:val="28"/>
              </w:rPr>
              <w:t xml:space="preserve">                            </w:t>
            </w:r>
            <w:r w:rsidRPr="003B56C8">
              <w:rPr>
                <w:b/>
                <w:sz w:val="28"/>
                <w:szCs w:val="28"/>
              </w:rPr>
              <w:t xml:space="preserve">chính sách, pháp luật về an toàn thực phẩm giai đoạn 2011-2016 </w:t>
            </w:r>
          </w:p>
          <w:p w:rsidR="00560031" w:rsidRDefault="00560031" w:rsidP="00560031">
            <w:pPr>
              <w:spacing w:before="120"/>
              <w:jc w:val="center"/>
              <w:rPr>
                <w:sz w:val="28"/>
                <w:szCs w:val="28"/>
              </w:rPr>
            </w:pPr>
            <w:r w:rsidRPr="00BA7899">
              <w:rPr>
                <w:sz w:val="28"/>
                <w:szCs w:val="28"/>
              </w:rPr>
              <w:t>(</w:t>
            </w:r>
            <w:r w:rsidRPr="00BA7899">
              <w:rPr>
                <w:i/>
                <w:sz w:val="28"/>
                <w:szCs w:val="28"/>
              </w:rPr>
              <w:t xml:space="preserve">Kèm theo công văn số </w:t>
            </w:r>
            <w:r>
              <w:rPr>
                <w:i/>
                <w:sz w:val="28"/>
                <w:szCs w:val="28"/>
              </w:rPr>
              <w:t xml:space="preserve">              </w:t>
            </w:r>
            <w:r w:rsidRPr="00BA7899">
              <w:rPr>
                <w:i/>
                <w:sz w:val="28"/>
                <w:szCs w:val="28"/>
              </w:rPr>
              <w:t xml:space="preserve"> /BCT-KHCN ngày </w:t>
            </w:r>
            <w:r>
              <w:rPr>
                <w:i/>
                <w:sz w:val="28"/>
                <w:szCs w:val="28"/>
              </w:rPr>
              <w:t xml:space="preserve">     </w:t>
            </w:r>
            <w:r w:rsidRPr="00BA7899">
              <w:rPr>
                <w:i/>
                <w:sz w:val="28"/>
                <w:szCs w:val="28"/>
              </w:rPr>
              <w:t xml:space="preserve"> tháng</w:t>
            </w:r>
            <w:r>
              <w:rPr>
                <w:i/>
                <w:sz w:val="28"/>
                <w:szCs w:val="28"/>
              </w:rPr>
              <w:t xml:space="preserve">     </w:t>
            </w:r>
            <w:r w:rsidRPr="00BA7899">
              <w:rPr>
                <w:i/>
                <w:sz w:val="28"/>
                <w:szCs w:val="28"/>
              </w:rPr>
              <w:t xml:space="preserve"> năm 201</w:t>
            </w:r>
            <w:r>
              <w:rPr>
                <w:i/>
                <w:sz w:val="28"/>
                <w:szCs w:val="28"/>
              </w:rPr>
              <w:t xml:space="preserve">7                        </w:t>
            </w:r>
            <w:r w:rsidRPr="00BA7899">
              <w:rPr>
                <w:i/>
                <w:sz w:val="28"/>
                <w:szCs w:val="28"/>
              </w:rPr>
              <w:t xml:space="preserve"> của</w:t>
            </w:r>
            <w:r>
              <w:rPr>
                <w:i/>
                <w:sz w:val="28"/>
                <w:szCs w:val="28"/>
              </w:rPr>
              <w:t xml:space="preserve"> </w:t>
            </w:r>
            <w:r w:rsidRPr="00BA7899">
              <w:rPr>
                <w:i/>
                <w:sz w:val="28"/>
                <w:szCs w:val="28"/>
              </w:rPr>
              <w:t>Bộ Công Thương</w:t>
            </w:r>
            <w:r w:rsidRPr="00BA7899">
              <w:rPr>
                <w:sz w:val="28"/>
                <w:szCs w:val="28"/>
              </w:rPr>
              <w:t>)</w:t>
            </w:r>
          </w:p>
          <w:p w:rsidR="00560031" w:rsidRPr="00623882" w:rsidRDefault="00560031" w:rsidP="00560031">
            <w:pPr>
              <w:spacing w:before="120" w:after="0" w:line="240" w:lineRule="auto"/>
              <w:ind w:firstLine="567"/>
              <w:jc w:val="both"/>
              <w:rPr>
                <w:spacing w:val="8"/>
                <w:sz w:val="28"/>
                <w:szCs w:val="28"/>
              </w:rPr>
            </w:pPr>
            <w:r>
              <w:rPr>
                <w:sz w:val="28"/>
                <w:szCs w:val="28"/>
              </w:rPr>
              <w:t>T</w:t>
            </w:r>
            <w:r w:rsidRPr="00623882">
              <w:rPr>
                <w:sz w:val="28"/>
                <w:szCs w:val="28"/>
              </w:rPr>
              <w:t xml:space="preserve">hực hiện ý kiến chỉ đạo và kết luận của </w:t>
            </w:r>
            <w:r w:rsidRPr="00623882">
              <w:rPr>
                <w:spacing w:val="8"/>
                <w:sz w:val="28"/>
                <w:szCs w:val="28"/>
              </w:rPr>
              <w:t xml:space="preserve">Phó Chủ tịch Quốc hội Phùng Quốc Hiển tại buổi làm việc </w:t>
            </w:r>
            <w:r w:rsidRPr="00623882">
              <w:rPr>
                <w:sz w:val="28"/>
                <w:szCs w:val="28"/>
              </w:rPr>
              <w:t>giữa Đoàn giám sát của Quốc hội với Lãnh đạo Bộ Công Thương ngày 15 tháng 2 năm 2017 tại Văn phòng Quốc hội</w:t>
            </w:r>
            <w:r>
              <w:rPr>
                <w:sz w:val="28"/>
                <w:szCs w:val="28"/>
              </w:rPr>
              <w:t xml:space="preserve"> </w:t>
            </w:r>
            <w:r w:rsidRPr="00623882">
              <w:rPr>
                <w:sz w:val="28"/>
                <w:szCs w:val="28"/>
              </w:rPr>
              <w:t>về việc thực hiện chính sách, pháp luật về an toàn thực phẩm giai đoạn 2011-2016 của Bộ Công Thương,</w:t>
            </w:r>
            <w:r w:rsidRPr="00623882">
              <w:rPr>
                <w:spacing w:val="8"/>
                <w:sz w:val="28"/>
                <w:szCs w:val="28"/>
              </w:rPr>
              <w:t xml:space="preserve"> Bộ Công Thương giải trình một số nội dung sau:</w:t>
            </w:r>
          </w:p>
          <w:p w:rsidR="00560031" w:rsidRPr="0057214A" w:rsidRDefault="00560031" w:rsidP="00560031">
            <w:pPr>
              <w:widowControl w:val="0"/>
              <w:spacing w:before="120" w:after="0" w:line="240" w:lineRule="auto"/>
              <w:ind w:firstLine="567"/>
              <w:jc w:val="both"/>
              <w:rPr>
                <w:b/>
                <w:i/>
                <w:sz w:val="28"/>
                <w:szCs w:val="28"/>
              </w:rPr>
            </w:pPr>
            <w:r w:rsidRPr="0057214A">
              <w:rPr>
                <w:b/>
                <w:sz w:val="28"/>
                <w:szCs w:val="28"/>
                <w:u w:val="single"/>
              </w:rPr>
              <w:t>Nội dung 1</w:t>
            </w:r>
            <w:r>
              <w:rPr>
                <w:b/>
                <w:sz w:val="28"/>
                <w:szCs w:val="28"/>
              </w:rPr>
              <w:t xml:space="preserve">: </w:t>
            </w:r>
            <w:r w:rsidRPr="00E46190">
              <w:rPr>
                <w:b/>
                <w:i/>
                <w:sz w:val="28"/>
                <w:szCs w:val="28"/>
              </w:rPr>
              <w:t>Thống nhất kinh phí ngân sách nhà nước dành cho Bộ Công Thương để triển khai nhiệm vụ quản lý ATTP giai đoạn 2011-2016</w:t>
            </w:r>
            <w:r>
              <w:rPr>
                <w:b/>
                <w:sz w:val="28"/>
                <w:szCs w:val="28"/>
              </w:rPr>
              <w:t xml:space="preserve"> </w:t>
            </w:r>
            <w:r w:rsidRPr="0057214A">
              <w:rPr>
                <w:b/>
                <w:i/>
                <w:sz w:val="28"/>
                <w:szCs w:val="28"/>
              </w:rPr>
              <w:t xml:space="preserve">trong </w:t>
            </w:r>
            <w:r>
              <w:rPr>
                <w:b/>
                <w:i/>
                <w:sz w:val="28"/>
                <w:szCs w:val="28"/>
              </w:rPr>
              <w:t xml:space="preserve">Bản báo cáo tổng hợp </w:t>
            </w:r>
            <w:r w:rsidRPr="0057214A">
              <w:rPr>
                <w:b/>
                <w:i/>
                <w:sz w:val="28"/>
                <w:szCs w:val="28"/>
              </w:rPr>
              <w:t xml:space="preserve">và </w:t>
            </w:r>
            <w:r>
              <w:rPr>
                <w:b/>
                <w:i/>
                <w:sz w:val="28"/>
                <w:szCs w:val="28"/>
              </w:rPr>
              <w:t xml:space="preserve">bản </w:t>
            </w:r>
            <w:r w:rsidRPr="0057214A">
              <w:rPr>
                <w:b/>
                <w:i/>
                <w:sz w:val="28"/>
                <w:szCs w:val="28"/>
              </w:rPr>
              <w:t>báo cáo</w:t>
            </w:r>
            <w:r>
              <w:rPr>
                <w:b/>
                <w:i/>
                <w:sz w:val="28"/>
                <w:szCs w:val="28"/>
              </w:rPr>
              <w:t xml:space="preserve"> </w:t>
            </w:r>
            <w:r w:rsidRPr="0057214A">
              <w:rPr>
                <w:b/>
                <w:i/>
                <w:sz w:val="28"/>
                <w:szCs w:val="28"/>
              </w:rPr>
              <w:t>tóm tắt</w:t>
            </w:r>
            <w:r>
              <w:rPr>
                <w:b/>
                <w:i/>
                <w:sz w:val="28"/>
                <w:szCs w:val="28"/>
              </w:rPr>
              <w:t>.</w:t>
            </w:r>
            <w:r w:rsidRPr="0057214A">
              <w:rPr>
                <w:b/>
                <w:i/>
                <w:sz w:val="28"/>
                <w:szCs w:val="28"/>
              </w:rPr>
              <w:t xml:space="preserve"> </w:t>
            </w:r>
          </w:p>
          <w:p w:rsidR="00560031" w:rsidRDefault="00560031" w:rsidP="00560031">
            <w:pPr>
              <w:spacing w:before="120" w:after="0" w:line="240" w:lineRule="auto"/>
              <w:ind w:firstLine="567"/>
              <w:jc w:val="both"/>
            </w:pPr>
            <w:r>
              <w:rPr>
                <w:sz w:val="28"/>
                <w:szCs w:val="28"/>
              </w:rPr>
              <w:t xml:space="preserve">Bộ Công Thương tiếp thu và đã chỉnh sửa trong Báo cáo tổng hợp gửi Văn phòng Quốc hội tại công văn số 1806/BCT-KHCN, ngày 07 tháng 3 năm 2017 về việc báo cáo thực hiện chính sách, pháp luật về ATTP giai đoạn 2011-2016 của Bộ Công Thương (Văn bản gửi kèm) như sau: Tổng kinh phí từ Ngân sách Nhà nước giai cấp </w:t>
            </w:r>
            <w:r>
              <w:rPr>
                <w:bCs/>
                <w:sz w:val="28"/>
                <w:szCs w:val="28"/>
              </w:rPr>
              <w:t>cho hoạt động bảo đảm ATTP của ngành Công Thương giai đoạn 2011-2016 là: 108.420 triệu đồng (</w:t>
            </w:r>
            <w:r>
              <w:rPr>
                <w:bCs/>
                <w:i/>
                <w:sz w:val="28"/>
                <w:szCs w:val="28"/>
              </w:rPr>
              <w:t>Một trăm linh tám tỷ bốn trăm hai mươi triệu đồng</w:t>
            </w:r>
            <w:r>
              <w:rPr>
                <w:bCs/>
                <w:sz w:val="28"/>
                <w:szCs w:val="28"/>
              </w:rPr>
              <w:t>), trong đó: (i) Cấp cho các đơn vị thuộc Bộ Công Thương là 91.610 triệu đồng (</w:t>
            </w:r>
            <w:r>
              <w:rPr>
                <w:bCs/>
                <w:i/>
                <w:sz w:val="28"/>
                <w:szCs w:val="28"/>
              </w:rPr>
              <w:t>Chín mươi mốt</w:t>
            </w:r>
            <w:r>
              <w:rPr>
                <w:bCs/>
                <w:sz w:val="28"/>
                <w:szCs w:val="28"/>
              </w:rPr>
              <w:t xml:space="preserve"> </w:t>
            </w:r>
            <w:r>
              <w:rPr>
                <w:bCs/>
                <w:i/>
                <w:sz w:val="28"/>
                <w:szCs w:val="28"/>
              </w:rPr>
              <w:t>tỷ sáu trăm mười triệu đồng</w:t>
            </w:r>
            <w:r>
              <w:rPr>
                <w:bCs/>
                <w:sz w:val="28"/>
                <w:szCs w:val="28"/>
              </w:rPr>
              <w:t>); (ii) Cấp cho một số Sở Công Thương là 16.810 triệu đồng (</w:t>
            </w:r>
            <w:r>
              <w:rPr>
                <w:bCs/>
                <w:i/>
                <w:sz w:val="28"/>
                <w:szCs w:val="28"/>
              </w:rPr>
              <w:t>Mười sáu</w:t>
            </w:r>
            <w:r>
              <w:rPr>
                <w:bCs/>
                <w:sz w:val="28"/>
                <w:szCs w:val="28"/>
              </w:rPr>
              <w:t xml:space="preserve"> </w:t>
            </w:r>
            <w:r>
              <w:rPr>
                <w:bCs/>
                <w:i/>
                <w:sz w:val="28"/>
                <w:szCs w:val="28"/>
              </w:rPr>
              <w:t>tỷ tám trăm mười triệu đồng</w:t>
            </w:r>
            <w:r>
              <w:rPr>
                <w:bCs/>
                <w:sz w:val="28"/>
                <w:szCs w:val="28"/>
              </w:rPr>
              <w:t>).</w:t>
            </w:r>
          </w:p>
          <w:p w:rsidR="00560031" w:rsidRPr="007067AF" w:rsidRDefault="00560031" w:rsidP="00560031">
            <w:pPr>
              <w:pStyle w:val="ListParagraph"/>
              <w:spacing w:before="120" w:after="0" w:line="240" w:lineRule="auto"/>
              <w:ind w:left="0" w:firstLine="426"/>
              <w:jc w:val="both"/>
              <w:rPr>
                <w:b/>
                <w:i/>
                <w:sz w:val="28"/>
                <w:szCs w:val="28"/>
              </w:rPr>
            </w:pPr>
            <w:r w:rsidRPr="007067AF">
              <w:rPr>
                <w:b/>
                <w:sz w:val="28"/>
                <w:szCs w:val="28"/>
                <w:u w:val="single"/>
              </w:rPr>
              <w:t>Nội dung 2</w:t>
            </w:r>
            <w:r>
              <w:rPr>
                <w:b/>
                <w:sz w:val="28"/>
                <w:szCs w:val="28"/>
              </w:rPr>
              <w:t xml:space="preserve">: </w:t>
            </w:r>
            <w:r w:rsidRPr="007067AF">
              <w:rPr>
                <w:b/>
                <w:i/>
                <w:sz w:val="28"/>
                <w:szCs w:val="28"/>
              </w:rPr>
              <w:t>Làm rõ nguyên nhân của việc cấp Giấy chứng nhận đủ điều kiện ATTP trong sản xuất, kinh doanh thực phẩm của các địa phương đạt tỷ lệ chưa cao</w:t>
            </w:r>
            <w:r>
              <w:rPr>
                <w:b/>
                <w:i/>
                <w:sz w:val="28"/>
                <w:szCs w:val="28"/>
              </w:rPr>
              <w:t xml:space="preserve"> (khoảng trên 60% đối với đối tượng thuộc diện phải cấp Giấy chứng nhận đủ điều kiện ATTP và trên 20% đối với đối tượng sản xuất, kinh doanh nhỏ lẻ) </w:t>
            </w:r>
          </w:p>
          <w:p w:rsidR="00560031" w:rsidRDefault="00560031" w:rsidP="00560031">
            <w:pPr>
              <w:pStyle w:val="ListParagraph"/>
              <w:spacing w:before="120" w:after="0" w:line="240" w:lineRule="auto"/>
              <w:ind w:left="0" w:firstLine="567"/>
              <w:jc w:val="both"/>
              <w:rPr>
                <w:sz w:val="28"/>
                <w:szCs w:val="28"/>
              </w:rPr>
            </w:pPr>
            <w:r>
              <w:rPr>
                <w:sz w:val="28"/>
                <w:szCs w:val="28"/>
              </w:rPr>
              <w:t>Bộ Công Thương tiếp thu và đã giải trình chi tiết tại Mục 2. Khoản 2.1 trong báo cáo (tại công văn số 1806/BCT-KHCN, ngày 07 tháng 3 năm 2017) gửi Văn phòng Quốc hội như sau:</w:t>
            </w:r>
          </w:p>
          <w:p w:rsidR="00560031" w:rsidRDefault="00560031" w:rsidP="00560031">
            <w:pPr>
              <w:pStyle w:val="ListParagraph"/>
              <w:spacing w:before="120" w:after="0" w:line="240" w:lineRule="auto"/>
              <w:ind w:left="0" w:firstLine="567"/>
              <w:jc w:val="both"/>
              <w:rPr>
                <w:sz w:val="28"/>
                <w:szCs w:val="28"/>
              </w:rPr>
            </w:pPr>
            <w:r>
              <w:rPr>
                <w:sz w:val="28"/>
                <w:szCs w:val="28"/>
              </w:rPr>
              <w:t>Cả 2 đối tượng trên thuộc thẩm quyền quản lý nhà nước về ATTP của UBND các cấp</w:t>
            </w:r>
            <w:r w:rsidR="00527937">
              <w:rPr>
                <w:sz w:val="28"/>
                <w:szCs w:val="28"/>
              </w:rPr>
              <w:t xml:space="preserve"> (</w:t>
            </w:r>
            <w:r w:rsidR="00527937">
              <w:rPr>
                <w:bCs/>
                <w:sz w:val="28"/>
                <w:szCs w:val="28"/>
              </w:rPr>
              <w:t>theo quy định tại Điều 65 của Luật ATTP</w:t>
            </w:r>
            <w:r w:rsidR="00527937">
              <w:rPr>
                <w:sz w:val="28"/>
                <w:szCs w:val="28"/>
              </w:rPr>
              <w:t>)</w:t>
            </w:r>
            <w:r>
              <w:rPr>
                <w:sz w:val="28"/>
                <w:szCs w:val="28"/>
              </w:rPr>
              <w:t xml:space="preserve">, cụ thể: </w:t>
            </w:r>
          </w:p>
          <w:p w:rsidR="00560031" w:rsidRDefault="00560031" w:rsidP="00560031">
            <w:pPr>
              <w:pStyle w:val="BodyText2"/>
              <w:widowControl w:val="0"/>
              <w:spacing w:before="120" w:after="0" w:line="240" w:lineRule="auto"/>
              <w:ind w:firstLine="709"/>
              <w:jc w:val="both"/>
              <w:rPr>
                <w:sz w:val="28"/>
                <w:szCs w:val="28"/>
              </w:rPr>
            </w:pPr>
            <w:r>
              <w:rPr>
                <w:sz w:val="28"/>
                <w:szCs w:val="28"/>
              </w:rPr>
              <w:t xml:space="preserve">- Đối với thuộc diện phải cấp Giấy chứng nhận đủ điều kiện ATTP trong sản xuất/ kinh doanh thực phẩm (tỷ lệ đã cấp đạt trên 60%): Nguyên nhân chính là do nhiều cơ sở sản xuất, kinh doanh thực phẩm chưa đáp ứng các yêu cầu về điều kiện cơ sở vật chất, thiết bị và người lao động trực tiếp,… theo quy định nên chưa chủ động đăng ký với cấp có thẩm quyền tại địa phương để thẩm định thực tế và cấp Giấy chứng nhận; Một số cơ sở chưa được cơ quan có thẩm quyền cấp do kết qủa thẩm định thực tế được đánh giá “không đạt” theo quy định. Nhiều địa phương có địa bàn rộng, việc phân cấp quản lý ATTP của </w:t>
            </w:r>
            <w:r>
              <w:rPr>
                <w:sz w:val="28"/>
                <w:szCs w:val="28"/>
              </w:rPr>
              <w:lastRenderedPageBreak/>
              <w:t xml:space="preserve">UBND các cấp còn chậm trong khi số lượng cán bộ quản lý ATTP lại thiếu (chỉ có ở tuyến tỉnh, không có ở tuyến huyện) nên đã hạn chế tỷ lệ cấp Giấy chứng nhận cho các đối tượng thuộc diện phải cấp theo quy định. </w:t>
            </w:r>
          </w:p>
          <w:p w:rsidR="00560031" w:rsidRDefault="00560031" w:rsidP="00560031">
            <w:pPr>
              <w:pStyle w:val="BodyText2"/>
              <w:widowControl w:val="0"/>
              <w:spacing w:before="120" w:after="0" w:line="240" w:lineRule="auto"/>
              <w:ind w:firstLine="709"/>
              <w:jc w:val="both"/>
              <w:rPr>
                <w:sz w:val="28"/>
                <w:szCs w:val="28"/>
              </w:rPr>
            </w:pPr>
            <w:r>
              <w:rPr>
                <w:sz w:val="28"/>
                <w:szCs w:val="28"/>
              </w:rPr>
              <w:t xml:space="preserve">- Riêng đối với việc thực hiện ký Giấy cam kết thực hiện các quy định về ATTP (áp dụng cho đối tượng sản xuất, kinh doanh nhỏ lẻ) tại các tỉnh và thành phố: Rất thấp (đạt khoảng 20%) là do các cơ sở này là các đối tượng nhỏ, lẻ, hộ gia đình, thuộc đối tượng chỉ thực hiện ký cam kết bảo đảm ATTP với chính quyền địa phương theo phân cấp quản lý của UBND tỉnh. Tuy nhiên việc phân cấp quản lý ATTP đối với đối tượng này tại nhiều địa phương còn rất chậm, một số địa phương còn thiếu kinh nghiệm quản lý đối tượng này trong khi số lượng các đối tượng sản xuất, kinh doanh nhỏ lẻ tại các địa phương là rất lớn nên việc thực thi và xử lý vi phạm các quy định về ATTP còn gặp nhiều khó khăn. Kể từ ngày 01 tháng 01 năm 2017, các cơ sở sản xuất kinh doanh thuộc đối tượng này sẽ thực hiện theo quy định của </w:t>
            </w:r>
            <w:r>
              <w:rPr>
                <w:bCs/>
                <w:sz w:val="28"/>
                <w:szCs w:val="28"/>
              </w:rPr>
              <w:t xml:space="preserve">Nghị định số 77/2016/NĐ-CP của Chính phủ). </w:t>
            </w:r>
          </w:p>
          <w:p w:rsidR="00560031" w:rsidRDefault="00560031" w:rsidP="00560031">
            <w:pPr>
              <w:pStyle w:val="BodyText2"/>
              <w:widowControl w:val="0"/>
              <w:spacing w:before="120" w:after="0" w:line="240" w:lineRule="auto"/>
              <w:ind w:firstLine="709"/>
              <w:jc w:val="both"/>
              <w:rPr>
                <w:sz w:val="28"/>
                <w:szCs w:val="28"/>
                <w:u w:val="single"/>
              </w:rPr>
            </w:pPr>
            <w:r w:rsidRPr="00EC702A">
              <w:rPr>
                <w:b/>
                <w:sz w:val="28"/>
                <w:szCs w:val="28"/>
                <w:u w:val="single"/>
              </w:rPr>
              <w:t>Nội dung 3</w:t>
            </w:r>
            <w:r w:rsidRPr="006068E0">
              <w:rPr>
                <w:b/>
                <w:sz w:val="28"/>
                <w:szCs w:val="28"/>
              </w:rPr>
              <w:t>:</w:t>
            </w:r>
            <w:r>
              <w:rPr>
                <w:b/>
                <w:i/>
                <w:sz w:val="28"/>
                <w:szCs w:val="28"/>
              </w:rPr>
              <w:t xml:space="preserve"> Về một số khó khăn khi thực hiện các văn bản quy phạm pháp luật về ATTP </w:t>
            </w:r>
            <w:r>
              <w:rPr>
                <w:sz w:val="28"/>
                <w:szCs w:val="28"/>
              </w:rPr>
              <w:t xml:space="preserve">(tại Khoản 1.2; điểm </w:t>
            </w:r>
            <w:r w:rsidRPr="00296F0E">
              <w:rPr>
                <w:sz w:val="28"/>
                <w:szCs w:val="28"/>
              </w:rPr>
              <w:t>1.2.1 trang của Báo cáo)</w:t>
            </w:r>
            <w:r>
              <w:rPr>
                <w:sz w:val="28"/>
                <w:szCs w:val="28"/>
              </w:rPr>
              <w:t>, cụ thể:</w:t>
            </w:r>
          </w:p>
          <w:p w:rsidR="00560031" w:rsidRPr="00463C3C" w:rsidRDefault="00560031" w:rsidP="00560031">
            <w:pPr>
              <w:pStyle w:val="ListParagraph"/>
              <w:numPr>
                <w:ilvl w:val="0"/>
                <w:numId w:val="1"/>
              </w:numPr>
              <w:spacing w:before="120" w:after="0" w:line="240" w:lineRule="auto"/>
              <w:ind w:left="0" w:firstLine="567"/>
              <w:jc w:val="both"/>
              <w:rPr>
                <w:sz w:val="28"/>
                <w:szCs w:val="28"/>
              </w:rPr>
            </w:pPr>
            <w:r>
              <w:rPr>
                <w:sz w:val="28"/>
                <w:szCs w:val="28"/>
              </w:rPr>
              <w:t xml:space="preserve">Quy định “Sản xuất ban đầu” và “Sản xuất ban đầu nhỏ lẻ”: </w:t>
            </w:r>
            <w:r w:rsidRPr="00DA5A14">
              <w:rPr>
                <w:sz w:val="28"/>
                <w:szCs w:val="28"/>
              </w:rPr>
              <w:t xml:space="preserve">Tại </w:t>
            </w:r>
            <w:r w:rsidRPr="00DA5A14">
              <w:rPr>
                <w:spacing w:val="-6"/>
                <w:sz w:val="28"/>
                <w:szCs w:val="28"/>
              </w:rPr>
              <w:t xml:space="preserve">Điều 2 khoản 15 của Luật ATTP, việc giải thích từ ngữ “Sản xuất ban đầu” có thể áp dụng cho lĩnh vực nông nghiệp vì được hiểu chỉ là </w:t>
            </w:r>
            <w:r w:rsidRPr="00DA5A14">
              <w:rPr>
                <w:spacing w:val="-10"/>
                <w:sz w:val="28"/>
                <w:szCs w:val="28"/>
              </w:rPr>
              <w:t xml:space="preserve">khâu sơ chế để miễn cho các cơ sở này không bắt buộc phải cấp Giấy chứng nhận đủ điều kiện ATTP </w:t>
            </w:r>
            <w:r w:rsidRPr="00DA5A14">
              <w:rPr>
                <w:spacing w:val="-6"/>
                <w:sz w:val="28"/>
                <w:szCs w:val="28"/>
              </w:rPr>
              <w:t>nhưng không phù hợp khi áp dụng chung cho lĩnh vực sản xuất, chế biến thực phẩm (</w:t>
            </w:r>
            <w:r w:rsidRPr="00DA5A14">
              <w:rPr>
                <w:spacing w:val="-10"/>
                <w:sz w:val="28"/>
                <w:szCs w:val="28"/>
              </w:rPr>
              <w:t xml:space="preserve">chế biến bột, tinh bột, bánh kẹo, cơ sở kinh doanh hộ gia đình,…) </w:t>
            </w:r>
            <w:r w:rsidRPr="00DA5A14">
              <w:rPr>
                <w:spacing w:val="-6"/>
                <w:sz w:val="28"/>
                <w:szCs w:val="28"/>
              </w:rPr>
              <w:t xml:space="preserve">thuộc </w:t>
            </w:r>
            <w:r w:rsidRPr="00DA5A14">
              <w:rPr>
                <w:spacing w:val="-10"/>
                <w:sz w:val="28"/>
                <w:szCs w:val="28"/>
              </w:rPr>
              <w:t xml:space="preserve">quản lý của ngành Công </w:t>
            </w:r>
            <w:r w:rsidR="00215466">
              <w:rPr>
                <w:spacing w:val="-10"/>
                <w:sz w:val="28"/>
                <w:szCs w:val="28"/>
              </w:rPr>
              <w:t>t</w:t>
            </w:r>
            <w:r w:rsidRPr="00DA5A14">
              <w:rPr>
                <w:spacing w:val="-10"/>
                <w:sz w:val="28"/>
                <w:szCs w:val="28"/>
              </w:rPr>
              <w:t xml:space="preserve">hương </w:t>
            </w:r>
            <w:r w:rsidRPr="00DA5A14">
              <w:rPr>
                <w:spacing w:val="-6"/>
                <w:sz w:val="28"/>
                <w:szCs w:val="28"/>
              </w:rPr>
              <w:t xml:space="preserve">do vậy rất khó thực hiện khi áp dụng cho đối tượng “Sản xuất ban đầu nhỏ lẻ” (theo quy định tại Điều 12 khoản 1 điểm a của Nghị định số 38/2012/NĐ-CP). </w:t>
            </w:r>
          </w:p>
          <w:p w:rsidR="00560031" w:rsidRPr="007A2E04" w:rsidRDefault="00560031" w:rsidP="00560031">
            <w:pPr>
              <w:pStyle w:val="ListParagraph"/>
              <w:numPr>
                <w:ilvl w:val="0"/>
                <w:numId w:val="1"/>
              </w:numPr>
              <w:spacing w:before="120" w:after="0" w:line="240" w:lineRule="auto"/>
              <w:ind w:left="0" w:firstLine="567"/>
              <w:jc w:val="both"/>
              <w:rPr>
                <w:sz w:val="28"/>
                <w:szCs w:val="28"/>
              </w:rPr>
            </w:pPr>
            <w:r>
              <w:rPr>
                <w:spacing w:val="-6"/>
                <w:sz w:val="28"/>
                <w:szCs w:val="28"/>
              </w:rPr>
              <w:t>Quy định quản lý ATTP tại chợ, siêu thị: T</w:t>
            </w:r>
            <w:r w:rsidRPr="00DA5A14">
              <w:rPr>
                <w:spacing w:val="-6"/>
                <w:sz w:val="28"/>
                <w:szCs w:val="28"/>
              </w:rPr>
              <w:t xml:space="preserve">ại Điều 64 khoản 4 Luật ATTP quy định Bộ Công </w:t>
            </w:r>
            <w:r w:rsidRPr="00DA5A14">
              <w:rPr>
                <w:spacing w:val="-10"/>
                <w:sz w:val="28"/>
                <w:szCs w:val="28"/>
              </w:rPr>
              <w:t xml:space="preserve">Thương chịu trách nhiệm “…quy định điều kiện kinh doanh thực phẩm tại chợ, siêu thị” nhưng Điều 22 khoản 5 Nghị định số 38/2012/NĐ-CP giao Bộ Công Thương “Quản lý ATTP đối với các chợ, siêu thị,….” trùng với Điều 65 khoản 2 cũng quy định UBND tỉnh </w:t>
            </w:r>
            <w:r w:rsidR="00590A08">
              <w:rPr>
                <w:spacing w:val="-10"/>
                <w:sz w:val="28"/>
                <w:szCs w:val="28"/>
              </w:rPr>
              <w:t>c</w:t>
            </w:r>
            <w:r w:rsidRPr="00DA5A14">
              <w:rPr>
                <w:spacing w:val="-10"/>
                <w:sz w:val="28"/>
                <w:szCs w:val="28"/>
              </w:rPr>
              <w:t xml:space="preserve">hịu trách nhiệm “…quản lý ATTP tại các chợ trên địa bàn…” gây khó khăn trong công tác quản lý của </w:t>
            </w:r>
            <w:r w:rsidR="00590A08">
              <w:rPr>
                <w:spacing w:val="-10"/>
                <w:sz w:val="28"/>
                <w:szCs w:val="28"/>
              </w:rPr>
              <w:t>t</w:t>
            </w:r>
            <w:r w:rsidRPr="00DA5A14">
              <w:rPr>
                <w:spacing w:val="-10"/>
                <w:sz w:val="28"/>
                <w:szCs w:val="28"/>
              </w:rPr>
              <w:t xml:space="preserve">rung ương và địa phương. </w:t>
            </w:r>
          </w:p>
          <w:p w:rsidR="00560031" w:rsidRPr="00DA5A14" w:rsidRDefault="00560031" w:rsidP="00560031">
            <w:pPr>
              <w:pStyle w:val="ListParagraph"/>
              <w:numPr>
                <w:ilvl w:val="0"/>
                <w:numId w:val="1"/>
              </w:numPr>
              <w:spacing w:before="120" w:after="0" w:line="240" w:lineRule="auto"/>
              <w:ind w:left="0" w:firstLine="567"/>
              <w:jc w:val="both"/>
              <w:rPr>
                <w:sz w:val="28"/>
                <w:szCs w:val="28"/>
              </w:rPr>
            </w:pPr>
            <w:r w:rsidRPr="00DA5A14">
              <w:rPr>
                <w:spacing w:val="-10"/>
                <w:sz w:val="28"/>
                <w:szCs w:val="28"/>
              </w:rPr>
              <w:t>Ngoài ra chưa có quy định về quản lý ATTP đối với một doanh nghiệp có cả 2 loại hình sản xuất và kinh doanh thực phẩm tại chợ và siêu thị.</w:t>
            </w:r>
          </w:p>
          <w:p w:rsidR="00560031" w:rsidRDefault="00560031" w:rsidP="00560031">
            <w:pPr>
              <w:pStyle w:val="BodyText2"/>
              <w:widowControl w:val="0"/>
              <w:spacing w:before="120" w:after="0" w:line="240" w:lineRule="auto"/>
              <w:ind w:firstLine="567"/>
              <w:jc w:val="both"/>
              <w:rPr>
                <w:spacing w:val="-10"/>
                <w:sz w:val="28"/>
                <w:szCs w:val="28"/>
              </w:rPr>
            </w:pPr>
            <w:r>
              <w:rPr>
                <w:spacing w:val="-10"/>
                <w:sz w:val="28"/>
                <w:szCs w:val="28"/>
              </w:rPr>
              <w:t>- Việc phối hợp trong công tác quản lý ATTP giữa các Bộ (Theo quy định của Thông tư liên tịch số 13</w:t>
            </w:r>
            <w:r>
              <w:rPr>
                <w:sz w:val="28"/>
                <w:szCs w:val="28"/>
                <w:lang w:val="zu-ZA"/>
              </w:rPr>
              <w:t>/2014/TTLT-BYT-BNNPTNT-BCT</w:t>
            </w:r>
            <w:r>
              <w:rPr>
                <w:spacing w:val="-10"/>
                <w:sz w:val="28"/>
                <w:szCs w:val="28"/>
              </w:rPr>
              <w:t xml:space="preserve">): Trường hợp </w:t>
            </w:r>
            <w:r w:rsidR="00590A08">
              <w:rPr>
                <w:spacing w:val="-10"/>
                <w:sz w:val="28"/>
                <w:szCs w:val="28"/>
              </w:rPr>
              <w:t>d</w:t>
            </w:r>
            <w:r>
              <w:rPr>
                <w:spacing w:val="-10"/>
                <w:sz w:val="28"/>
                <w:szCs w:val="28"/>
              </w:rPr>
              <w:t>oanh nghiệp sản xuất bia là sản phẩm chính (quy mô hàng trăm triệu lít/năm), để tận dụng hệ thống thiết bị xử lý nước cấp cho quy trình sản xuất bia, doanh nghiệp đã sản xuất thêm nước tinh lọc với số lượng không đáng kể. Theo quy định của Thông tư liên tịch số 13</w:t>
            </w:r>
            <w:r>
              <w:rPr>
                <w:sz w:val="28"/>
                <w:szCs w:val="28"/>
                <w:lang w:val="zu-ZA"/>
              </w:rPr>
              <w:t>/2014/TTLT-BYT-BNNPTNT-BCT</w:t>
            </w:r>
            <w:r>
              <w:rPr>
                <w:spacing w:val="-10"/>
                <w:sz w:val="28"/>
                <w:szCs w:val="28"/>
              </w:rPr>
              <w:t xml:space="preserve">) thì cơ sở này sẽ do Bộ Y tế thẩm định và cấp Giấy chứng nhận cơ sở đủ điều kiện ATTP để sản xuất cả 2 sản phẩm là bia và nước tinh lọc, nhưng khi doanh nghiệp thực hiện quảng cáo bia thì lại do ngành Công </w:t>
            </w:r>
            <w:r w:rsidR="00590A08">
              <w:rPr>
                <w:spacing w:val="-10"/>
                <w:sz w:val="28"/>
                <w:szCs w:val="28"/>
              </w:rPr>
              <w:t>t</w:t>
            </w:r>
            <w:r>
              <w:rPr>
                <w:spacing w:val="-10"/>
                <w:sz w:val="28"/>
                <w:szCs w:val="28"/>
              </w:rPr>
              <w:t xml:space="preserve">hương quản lý và cấp Giấy xác nhận quảng cáo.  Thực tế cho thấy: Yêu cầu kiến thực chuyên môn và kinh nghiệm thẩm định, đánh gía điều kiện ATTP đối với điều kiện (hệ </w:t>
            </w:r>
            <w:r>
              <w:rPr>
                <w:spacing w:val="-10"/>
                <w:sz w:val="28"/>
                <w:szCs w:val="28"/>
              </w:rPr>
              <w:lastRenderedPageBreak/>
              <w:t xml:space="preserve">thống trang, thiết bị và người lao động trực tiếp) để sản xuất bia rất khác và phức tạp hơn rất nhiều so với các điều kiện để sản xuất nước tinh lọc và đòi hỏi các chuyên gia phải có kiến thức công nghệ chuyên ngành và kinh nghiệm thực tiễn mới đảm bảo kết qủa đánh giá là đúng quy định. Điều này cũng tương tự đối với các doanh nghiệp sản xuất sữa chế biến (là chính) nhưng cũng sản xuất một số sản phẩm sữa bổ sung vi chất dinh dưỡng, tuy nhiên theo quy định tại Điều 7 khoản 2 của Nghị định số 09/2016/NĐ-CP ngày 28 tháng 01 năm 2016 của Chính phủ quy định tăng cường vi chất dinh dưỡng vào thực phẩm thì nhiệm vụ quản lý nhà nước về ATTP đối với sản phẩm dầu ăn và bột mỳ có bổ sung vi chất dinh dưỡng vẫn thuộc Bộ Công Thương./.  </w:t>
            </w:r>
          </w:p>
          <w:p w:rsidR="00560031" w:rsidRDefault="00560031" w:rsidP="00560031">
            <w:pPr>
              <w:spacing w:after="0" w:line="240" w:lineRule="auto"/>
              <w:ind w:firstLine="709"/>
              <w:jc w:val="both"/>
              <w:rPr>
                <w:sz w:val="28"/>
                <w:szCs w:val="28"/>
              </w:rPr>
            </w:pPr>
          </w:p>
          <w:p w:rsidR="00560031" w:rsidRDefault="00560031" w:rsidP="00560031"/>
          <w:p w:rsidR="00C56022" w:rsidRPr="00475DB8" w:rsidRDefault="00C56022" w:rsidP="00AA7D7E">
            <w:pPr>
              <w:pStyle w:val="Heading2"/>
              <w:jc w:val="left"/>
              <w:rPr>
                <w:rFonts w:ascii="Times New Roman" w:hAnsi="Times New Roman"/>
                <w:spacing w:val="-10"/>
                <w:sz w:val="27"/>
                <w:szCs w:val="27"/>
              </w:rPr>
            </w:pPr>
          </w:p>
        </w:tc>
      </w:tr>
    </w:tbl>
    <w:p w:rsidR="00026049" w:rsidRDefault="00026049"/>
    <w:p w:rsidR="00026049" w:rsidRDefault="00026049"/>
    <w:p w:rsidR="00026049" w:rsidRDefault="00026049"/>
    <w:p w:rsidR="00026049" w:rsidRDefault="00026049"/>
    <w:p w:rsidR="00026049" w:rsidRDefault="00026049"/>
    <w:p w:rsidR="00026049" w:rsidRDefault="00026049"/>
    <w:p w:rsidR="00026049" w:rsidRDefault="00026049"/>
    <w:p w:rsidR="00026049" w:rsidRDefault="00026049"/>
    <w:p w:rsidR="00026049" w:rsidRDefault="00026049"/>
    <w:p w:rsidR="00026049" w:rsidRDefault="00026049"/>
    <w:p w:rsidR="00026049" w:rsidRDefault="00026049"/>
    <w:p w:rsidR="00026049" w:rsidRDefault="00026049"/>
    <w:p w:rsidR="00026049" w:rsidRDefault="00026049"/>
    <w:p w:rsidR="00026049" w:rsidRDefault="00026049"/>
    <w:p w:rsidR="00026049" w:rsidRDefault="00026049"/>
    <w:p w:rsidR="00026049" w:rsidRDefault="00026049"/>
    <w:p w:rsidR="00026049" w:rsidRDefault="00026049"/>
    <w:p w:rsidR="00026049" w:rsidRDefault="00026049"/>
    <w:p w:rsidR="00026049" w:rsidRDefault="00026049"/>
    <w:p w:rsidR="00026049" w:rsidRDefault="00026049"/>
    <w:p w:rsidR="00026049" w:rsidRPr="00026049" w:rsidRDefault="00026049" w:rsidP="00026049">
      <w:pPr>
        <w:spacing w:after="0" w:line="240" w:lineRule="auto"/>
        <w:rPr>
          <w:b/>
        </w:rPr>
      </w:pPr>
      <w:r w:rsidRPr="003A5634">
        <w:t xml:space="preserve">      </w:t>
      </w:r>
      <w:r w:rsidR="007C6FBB">
        <w:t xml:space="preserve">   </w:t>
      </w:r>
      <w:r w:rsidRPr="003A5634">
        <w:t xml:space="preserve">  BỘ CÔNG THƯƠNG</w:t>
      </w:r>
      <w:r w:rsidRPr="00026049">
        <w:rPr>
          <w:b/>
        </w:rPr>
        <w:t xml:space="preserve">         CỘNG HÒA XÃ HỘI CHỦ NGHĨA VIỆT NAM</w:t>
      </w:r>
    </w:p>
    <w:p w:rsidR="00026049" w:rsidRDefault="00026049" w:rsidP="00026049">
      <w:pPr>
        <w:spacing w:after="0" w:line="240" w:lineRule="auto"/>
        <w:rPr>
          <w:b/>
        </w:rPr>
      </w:pPr>
      <w:r w:rsidRPr="00026049">
        <w:rPr>
          <w:b/>
        </w:rPr>
        <w:t xml:space="preserve">VỤ KHOA HỌC VÀ CÔNG NGHỆ        </w:t>
      </w:r>
      <w:r w:rsidR="007C6FBB">
        <w:rPr>
          <w:b/>
        </w:rPr>
        <w:t xml:space="preserve"> </w:t>
      </w:r>
      <w:r w:rsidRPr="00026049">
        <w:rPr>
          <w:b/>
        </w:rPr>
        <w:t xml:space="preserve">   Độc lập – Tự do- Hạnh phúc</w:t>
      </w:r>
    </w:p>
    <w:p w:rsidR="003A5634" w:rsidRPr="00026049" w:rsidRDefault="004C2BB2" w:rsidP="00026049">
      <w:pPr>
        <w:spacing w:after="0" w:line="240" w:lineRule="auto"/>
        <w:rPr>
          <w:b/>
        </w:rPr>
      </w:pPr>
      <w:r>
        <w:rPr>
          <w:b/>
          <w:noProof/>
        </w:rPr>
        <w:pict>
          <v:shapetype id="_x0000_t32" coordsize="21600,21600" o:spt="32" o:oned="t" path="m,l21600,21600e" filled="f">
            <v:path arrowok="t" fillok="f" o:connecttype="none"/>
            <o:lock v:ext="edit" shapetype="t"/>
          </v:shapetype>
          <v:shape id="_x0000_s1029" type="#_x0000_t32" style="position:absolute;margin-left:237.5pt;margin-top:5.8pt;width:159.25pt;height:0;z-index:251663360" o:connectortype="straight"/>
        </w:pict>
      </w:r>
      <w:r>
        <w:rPr>
          <w:b/>
          <w:noProof/>
        </w:rPr>
        <w:pict>
          <v:shape id="_x0000_s1028" type="#_x0000_t32" style="position:absolute;margin-left:48.05pt;margin-top:6.8pt;width:68.95pt;height:0;z-index:251662336" o:connectortype="straight"/>
        </w:pict>
      </w:r>
    </w:p>
    <w:p w:rsidR="007C6FBB" w:rsidRDefault="007C6FBB" w:rsidP="00D86165">
      <w:pPr>
        <w:spacing w:after="0" w:line="240" w:lineRule="auto"/>
      </w:pPr>
    </w:p>
    <w:p w:rsidR="00026049" w:rsidRDefault="003A5634" w:rsidP="00D86165">
      <w:pPr>
        <w:spacing w:after="0" w:line="240" w:lineRule="auto"/>
      </w:pPr>
      <w:r>
        <w:t>Số:                      /KHCN-ATTP</w:t>
      </w:r>
      <w:r w:rsidR="007C6FBB">
        <w:t xml:space="preserve">  </w:t>
      </w:r>
      <w:r w:rsidR="008027B8">
        <w:t xml:space="preserve">      </w:t>
      </w:r>
      <w:r w:rsidR="007C6FBB">
        <w:t xml:space="preserve">        </w:t>
      </w:r>
      <w:r w:rsidR="007C6FBB" w:rsidRPr="00F96CA5">
        <w:rPr>
          <w:i/>
          <w:sz w:val="28"/>
          <w:szCs w:val="28"/>
        </w:rPr>
        <w:t>Hà Nội, ngày        tháng 4 năm 2017</w:t>
      </w:r>
    </w:p>
    <w:p w:rsidR="00D86165" w:rsidRPr="00F96CA5" w:rsidRDefault="003A5634" w:rsidP="007C6FBB">
      <w:pPr>
        <w:spacing w:before="120" w:after="0" w:line="240" w:lineRule="auto"/>
        <w:rPr>
          <w:i/>
          <w:sz w:val="28"/>
          <w:szCs w:val="28"/>
        </w:rPr>
      </w:pPr>
      <w:r w:rsidRPr="00F96CA5">
        <w:rPr>
          <w:sz w:val="24"/>
          <w:szCs w:val="24"/>
        </w:rPr>
        <w:t>V</w:t>
      </w:r>
      <w:r w:rsidR="00F96CA5" w:rsidRPr="00F96CA5">
        <w:rPr>
          <w:sz w:val="24"/>
          <w:szCs w:val="24"/>
        </w:rPr>
        <w:t>/</w:t>
      </w:r>
      <w:r w:rsidRPr="00F96CA5">
        <w:rPr>
          <w:sz w:val="24"/>
          <w:szCs w:val="24"/>
        </w:rPr>
        <w:t xml:space="preserve">v trả lời kiến nghị Đoàn </w:t>
      </w:r>
      <w:r w:rsidR="008027B8">
        <w:rPr>
          <w:sz w:val="24"/>
          <w:szCs w:val="24"/>
        </w:rPr>
        <w:t>g</w:t>
      </w:r>
      <w:r w:rsidRPr="00F96CA5">
        <w:rPr>
          <w:sz w:val="24"/>
          <w:szCs w:val="24"/>
        </w:rPr>
        <w:t>iám sát</w:t>
      </w:r>
      <w:r w:rsidR="00D86165" w:rsidRPr="00F96CA5">
        <w:rPr>
          <w:sz w:val="24"/>
          <w:szCs w:val="24"/>
        </w:rPr>
        <w:t xml:space="preserve"> </w:t>
      </w:r>
      <w:r w:rsidR="00D86165">
        <w:t xml:space="preserve"> </w:t>
      </w:r>
      <w:r w:rsidR="00F96CA5">
        <w:t xml:space="preserve"> </w:t>
      </w:r>
      <w:r w:rsidR="00E648B4">
        <w:t xml:space="preserve">         </w:t>
      </w:r>
      <w:r w:rsidR="00F96CA5">
        <w:t xml:space="preserve">  </w:t>
      </w:r>
    </w:p>
    <w:p w:rsidR="003A5634" w:rsidRPr="00F96CA5" w:rsidRDefault="00D06AC2" w:rsidP="00D86165">
      <w:pPr>
        <w:spacing w:after="0" w:line="240" w:lineRule="auto"/>
        <w:rPr>
          <w:sz w:val="24"/>
          <w:szCs w:val="24"/>
        </w:rPr>
      </w:pPr>
      <w:proofErr w:type="gramStart"/>
      <w:r w:rsidRPr="00F96CA5">
        <w:rPr>
          <w:sz w:val="24"/>
          <w:szCs w:val="24"/>
        </w:rPr>
        <w:t>Quốc</w:t>
      </w:r>
      <w:r>
        <w:rPr>
          <w:sz w:val="24"/>
          <w:szCs w:val="24"/>
        </w:rPr>
        <w:t xml:space="preserve"> </w:t>
      </w:r>
      <w:r w:rsidR="00F96CA5" w:rsidRPr="00F96CA5">
        <w:rPr>
          <w:sz w:val="24"/>
          <w:szCs w:val="24"/>
        </w:rPr>
        <w:t xml:space="preserve">hội </w:t>
      </w:r>
      <w:r w:rsidR="00D86165" w:rsidRPr="00F96CA5">
        <w:rPr>
          <w:sz w:val="24"/>
          <w:szCs w:val="24"/>
        </w:rPr>
        <w:t xml:space="preserve">về </w:t>
      </w:r>
      <w:r w:rsidR="003A5634" w:rsidRPr="00F96CA5">
        <w:rPr>
          <w:sz w:val="24"/>
          <w:szCs w:val="24"/>
        </w:rPr>
        <w:t>ATTP</w:t>
      </w:r>
      <w:r>
        <w:rPr>
          <w:sz w:val="24"/>
          <w:szCs w:val="24"/>
        </w:rPr>
        <w:t>.</w:t>
      </w:r>
      <w:proofErr w:type="gramEnd"/>
      <w:r>
        <w:rPr>
          <w:sz w:val="24"/>
          <w:szCs w:val="24"/>
        </w:rPr>
        <w:t xml:space="preserve"> </w:t>
      </w:r>
    </w:p>
    <w:p w:rsidR="00026049" w:rsidRDefault="00026049" w:rsidP="00D86165">
      <w:pPr>
        <w:spacing w:after="0" w:line="240" w:lineRule="auto"/>
      </w:pPr>
    </w:p>
    <w:p w:rsidR="00026049" w:rsidRDefault="00026049"/>
    <w:p w:rsidR="00D06AC2" w:rsidRDefault="00D06AC2" w:rsidP="00E648B4">
      <w:pPr>
        <w:spacing w:after="360"/>
        <w:jc w:val="center"/>
      </w:pPr>
      <w:r>
        <w:t>Kính gửi: Vụ Kế hoạch</w:t>
      </w:r>
    </w:p>
    <w:p w:rsidR="00884952" w:rsidRDefault="00D06AC2" w:rsidP="00884952">
      <w:pPr>
        <w:spacing w:before="120" w:after="0" w:line="240" w:lineRule="auto"/>
        <w:ind w:firstLine="567"/>
        <w:jc w:val="both"/>
        <w:rPr>
          <w:sz w:val="28"/>
          <w:szCs w:val="28"/>
        </w:rPr>
      </w:pPr>
      <w:r w:rsidRPr="004E1D42">
        <w:rPr>
          <w:sz w:val="28"/>
          <w:szCs w:val="28"/>
        </w:rPr>
        <w:t>Trả lời công văn số 366/VKH-THQH ngày 31 tháng 3 năm 2017 của Vụ K</w:t>
      </w:r>
      <w:r w:rsidR="003F6C3C" w:rsidRPr="004E1D42">
        <w:rPr>
          <w:sz w:val="28"/>
          <w:szCs w:val="28"/>
        </w:rPr>
        <w:t>ế</w:t>
      </w:r>
      <w:r w:rsidRPr="004E1D42">
        <w:rPr>
          <w:sz w:val="28"/>
          <w:szCs w:val="28"/>
        </w:rPr>
        <w:t xml:space="preserve"> hoạch về việc rà soát</w:t>
      </w:r>
      <w:r w:rsidR="004E1D42" w:rsidRPr="004E1D42">
        <w:rPr>
          <w:sz w:val="28"/>
          <w:szCs w:val="28"/>
        </w:rPr>
        <w:t xml:space="preserve">, </w:t>
      </w:r>
      <w:r w:rsidR="003F6C3C" w:rsidRPr="004E1D42">
        <w:rPr>
          <w:sz w:val="28"/>
          <w:szCs w:val="28"/>
        </w:rPr>
        <w:t xml:space="preserve">chuẩn bị </w:t>
      </w:r>
      <w:r w:rsidR="00A03B5E" w:rsidRPr="004E1D42">
        <w:rPr>
          <w:sz w:val="28"/>
          <w:szCs w:val="28"/>
        </w:rPr>
        <w:t xml:space="preserve">tài liệu/ nội dung </w:t>
      </w:r>
      <w:r w:rsidR="00B141BB" w:rsidRPr="004E1D42">
        <w:rPr>
          <w:sz w:val="28"/>
          <w:szCs w:val="28"/>
        </w:rPr>
        <w:t>theo yêu cầu tại công</w:t>
      </w:r>
      <w:r w:rsidR="004E1D42" w:rsidRPr="004E1D42">
        <w:rPr>
          <w:sz w:val="28"/>
          <w:szCs w:val="28"/>
        </w:rPr>
        <w:t xml:space="preserve"> văn </w:t>
      </w:r>
      <w:r w:rsidR="00B141BB" w:rsidRPr="004E1D42">
        <w:rPr>
          <w:sz w:val="28"/>
          <w:szCs w:val="28"/>
        </w:rPr>
        <w:t>số 524/TTKQH-TV ngày 24 tháng 3 năm 2017 của Tổng thư ký Quốc hội về việc chuẩn bị phiên họp thứ 9 và thứ 10 của Ủy ban thường vụ Quốc hội</w:t>
      </w:r>
      <w:r w:rsidR="00B67C73" w:rsidRPr="004E1D42">
        <w:rPr>
          <w:sz w:val="28"/>
          <w:szCs w:val="28"/>
        </w:rPr>
        <w:t>,</w:t>
      </w:r>
      <w:r w:rsidR="00884952">
        <w:rPr>
          <w:sz w:val="28"/>
          <w:szCs w:val="28"/>
        </w:rPr>
        <w:t xml:space="preserve"> Vụ Khoa học và Công nghệ có ý kiến sau:</w:t>
      </w:r>
    </w:p>
    <w:p w:rsidR="00B051D5" w:rsidRDefault="00884952" w:rsidP="00884952">
      <w:pPr>
        <w:spacing w:before="120" w:after="0" w:line="240" w:lineRule="auto"/>
        <w:ind w:firstLine="567"/>
        <w:jc w:val="both"/>
        <w:rPr>
          <w:sz w:val="28"/>
          <w:szCs w:val="28"/>
        </w:rPr>
      </w:pPr>
      <w:r>
        <w:rPr>
          <w:sz w:val="28"/>
          <w:szCs w:val="28"/>
        </w:rPr>
        <w:t>T</w:t>
      </w:r>
      <w:r w:rsidR="00961154">
        <w:rPr>
          <w:sz w:val="28"/>
          <w:szCs w:val="28"/>
        </w:rPr>
        <w:t xml:space="preserve">hực hiện </w:t>
      </w:r>
      <w:r w:rsidR="004A4E05">
        <w:rPr>
          <w:sz w:val="28"/>
          <w:szCs w:val="28"/>
        </w:rPr>
        <w:t xml:space="preserve">ý kiến chỉ đạo và kết luận </w:t>
      </w:r>
      <w:r w:rsidR="004A4E05" w:rsidRPr="00623882">
        <w:rPr>
          <w:sz w:val="28"/>
          <w:szCs w:val="28"/>
        </w:rPr>
        <w:t xml:space="preserve">của </w:t>
      </w:r>
      <w:r w:rsidR="004A4E05" w:rsidRPr="00623882">
        <w:rPr>
          <w:spacing w:val="8"/>
          <w:sz w:val="28"/>
          <w:szCs w:val="28"/>
        </w:rPr>
        <w:t xml:space="preserve">Phó Chủ tịch Quốc hội Phùng Quốc Hiển tại buổi làm việc </w:t>
      </w:r>
      <w:r w:rsidR="004A4E05" w:rsidRPr="00623882">
        <w:rPr>
          <w:sz w:val="28"/>
          <w:szCs w:val="28"/>
        </w:rPr>
        <w:t>giữa Đoàn giám sát của Quốc hội với Lãnh đạo Bộ Công Thương ngày 15 tháng 2 năm 2017 tại Văn phòng Quốc hội</w:t>
      </w:r>
      <w:r w:rsidR="004A4E05">
        <w:rPr>
          <w:sz w:val="28"/>
          <w:szCs w:val="28"/>
        </w:rPr>
        <w:t xml:space="preserve"> </w:t>
      </w:r>
      <w:r w:rsidR="004A4E05" w:rsidRPr="00623882">
        <w:rPr>
          <w:sz w:val="28"/>
          <w:szCs w:val="28"/>
        </w:rPr>
        <w:t>về việc thực hiện chính sách, pháp luật về an toàn thực phẩm giai đoạn 2011-2016 của Bộ Công Thương,</w:t>
      </w:r>
      <w:r w:rsidR="004A4E05" w:rsidRPr="00623882">
        <w:rPr>
          <w:spacing w:val="8"/>
          <w:sz w:val="28"/>
          <w:szCs w:val="28"/>
        </w:rPr>
        <w:t xml:space="preserve"> </w:t>
      </w:r>
      <w:r w:rsidR="005D0FA7">
        <w:rPr>
          <w:sz w:val="28"/>
          <w:szCs w:val="28"/>
        </w:rPr>
        <w:t xml:space="preserve">Vụ Khoa học và Công nghệ </w:t>
      </w:r>
      <w:r>
        <w:rPr>
          <w:sz w:val="28"/>
          <w:szCs w:val="28"/>
        </w:rPr>
        <w:t xml:space="preserve">đã </w:t>
      </w:r>
      <w:r w:rsidR="00B051D5">
        <w:rPr>
          <w:sz w:val="28"/>
          <w:szCs w:val="28"/>
        </w:rPr>
        <w:t xml:space="preserve">đã chính sửa, </w:t>
      </w:r>
      <w:r>
        <w:rPr>
          <w:sz w:val="28"/>
          <w:szCs w:val="28"/>
        </w:rPr>
        <w:t>hoàn thiện Báo cáo</w:t>
      </w:r>
      <w:r w:rsidR="001F7E21">
        <w:rPr>
          <w:sz w:val="28"/>
          <w:szCs w:val="28"/>
        </w:rPr>
        <w:t xml:space="preserve"> </w:t>
      </w:r>
      <w:r w:rsidR="00961154">
        <w:rPr>
          <w:sz w:val="28"/>
          <w:szCs w:val="28"/>
        </w:rPr>
        <w:t>(tổng hợp và tóm tắt)</w:t>
      </w:r>
      <w:r w:rsidR="00CE3667">
        <w:rPr>
          <w:sz w:val="28"/>
          <w:szCs w:val="28"/>
        </w:rPr>
        <w:t xml:space="preserve"> việc </w:t>
      </w:r>
      <w:r w:rsidR="00961154">
        <w:rPr>
          <w:sz w:val="28"/>
          <w:szCs w:val="28"/>
        </w:rPr>
        <w:t xml:space="preserve">thực hiện chính sách pháp luật về ATTP giai </w:t>
      </w:r>
      <w:r w:rsidR="001F7E21">
        <w:rPr>
          <w:sz w:val="28"/>
          <w:szCs w:val="28"/>
        </w:rPr>
        <w:t xml:space="preserve">đoạn </w:t>
      </w:r>
      <w:r w:rsidR="00961154">
        <w:rPr>
          <w:sz w:val="28"/>
          <w:szCs w:val="28"/>
        </w:rPr>
        <w:t>2011-2016 của Bộ Công Thương</w:t>
      </w:r>
      <w:r w:rsidR="001F7E21">
        <w:rPr>
          <w:sz w:val="28"/>
          <w:szCs w:val="28"/>
        </w:rPr>
        <w:t xml:space="preserve"> </w:t>
      </w:r>
      <w:r w:rsidR="00747E81">
        <w:rPr>
          <w:sz w:val="28"/>
          <w:szCs w:val="28"/>
        </w:rPr>
        <w:t xml:space="preserve">và đã </w:t>
      </w:r>
      <w:r w:rsidR="001F7E21">
        <w:rPr>
          <w:sz w:val="28"/>
          <w:szCs w:val="28"/>
        </w:rPr>
        <w:t xml:space="preserve">gửi </w:t>
      </w:r>
      <w:r w:rsidR="00034D1C">
        <w:rPr>
          <w:sz w:val="28"/>
          <w:szCs w:val="28"/>
        </w:rPr>
        <w:t xml:space="preserve">văn bản trên tới </w:t>
      </w:r>
      <w:r w:rsidR="001F7E21">
        <w:rPr>
          <w:sz w:val="28"/>
          <w:szCs w:val="28"/>
        </w:rPr>
        <w:t xml:space="preserve">Văn phòng Quốc hội </w:t>
      </w:r>
      <w:r w:rsidR="00747E81">
        <w:rPr>
          <w:sz w:val="28"/>
          <w:szCs w:val="28"/>
        </w:rPr>
        <w:t>tại Công văn số 1806/BCT-KHCN, ngày 07 tháng 3 năm 2017 về việc báo cáo thực hiện chính sách, pháp luật về ATTP giai đoạn 2011-2016 của Bộ Công Thương (văn bản gửi kèm)</w:t>
      </w:r>
      <w:r w:rsidR="00B051D5">
        <w:rPr>
          <w:sz w:val="28"/>
          <w:szCs w:val="28"/>
        </w:rPr>
        <w:t>.</w:t>
      </w:r>
    </w:p>
    <w:p w:rsidR="00961154" w:rsidRDefault="00B051D5" w:rsidP="00884952">
      <w:pPr>
        <w:spacing w:before="120" w:after="0" w:line="240" w:lineRule="auto"/>
        <w:ind w:firstLine="567"/>
        <w:jc w:val="both"/>
        <w:rPr>
          <w:sz w:val="28"/>
          <w:szCs w:val="28"/>
        </w:rPr>
      </w:pPr>
      <w:r>
        <w:rPr>
          <w:sz w:val="28"/>
          <w:szCs w:val="28"/>
        </w:rPr>
        <w:t xml:space="preserve">Vụ Khoa học và Công nghệ kính chuyển </w:t>
      </w:r>
      <w:r w:rsidR="0098305F">
        <w:rPr>
          <w:sz w:val="28"/>
          <w:szCs w:val="28"/>
        </w:rPr>
        <w:t xml:space="preserve">Quý Vụ: </w:t>
      </w:r>
      <w:r>
        <w:rPr>
          <w:sz w:val="28"/>
          <w:szCs w:val="28"/>
        </w:rPr>
        <w:t xml:space="preserve">Báo cáo </w:t>
      </w:r>
      <w:r w:rsidR="0098305F">
        <w:rPr>
          <w:sz w:val="28"/>
          <w:szCs w:val="28"/>
        </w:rPr>
        <w:t>tổng hợp;</w:t>
      </w:r>
      <w:r w:rsidR="0071079F">
        <w:rPr>
          <w:sz w:val="28"/>
          <w:szCs w:val="28"/>
        </w:rPr>
        <w:t xml:space="preserve"> Báo cáo</w:t>
      </w:r>
      <w:r w:rsidR="0098305F">
        <w:rPr>
          <w:sz w:val="28"/>
          <w:szCs w:val="28"/>
        </w:rPr>
        <w:t xml:space="preserve"> tóm tăt</w:t>
      </w:r>
      <w:r w:rsidR="0071079F">
        <w:rPr>
          <w:sz w:val="28"/>
          <w:szCs w:val="28"/>
        </w:rPr>
        <w:t xml:space="preserve"> </w:t>
      </w:r>
      <w:r>
        <w:rPr>
          <w:sz w:val="28"/>
          <w:szCs w:val="28"/>
        </w:rPr>
        <w:t xml:space="preserve">và Bản giải trình các ý kiến </w:t>
      </w:r>
      <w:r w:rsidR="00166AD8">
        <w:rPr>
          <w:sz w:val="28"/>
          <w:szCs w:val="28"/>
        </w:rPr>
        <w:t xml:space="preserve">của </w:t>
      </w:r>
      <w:r w:rsidR="0098305F">
        <w:rPr>
          <w:sz w:val="28"/>
          <w:szCs w:val="28"/>
        </w:rPr>
        <w:t xml:space="preserve">Đoàn giám sát Quốc hội </w:t>
      </w:r>
      <w:r w:rsidR="00166AD8">
        <w:rPr>
          <w:sz w:val="28"/>
          <w:szCs w:val="28"/>
        </w:rPr>
        <w:t xml:space="preserve">liên quan đến </w:t>
      </w:r>
      <w:r w:rsidR="0098305F">
        <w:rPr>
          <w:sz w:val="28"/>
          <w:szCs w:val="28"/>
        </w:rPr>
        <w:t xml:space="preserve">trách nhiệm </w:t>
      </w:r>
      <w:r w:rsidR="00166AD8">
        <w:rPr>
          <w:sz w:val="28"/>
          <w:szCs w:val="28"/>
        </w:rPr>
        <w:t>quản lý nhà nước về ATTP</w:t>
      </w:r>
      <w:r w:rsidR="0098305F">
        <w:rPr>
          <w:sz w:val="28"/>
          <w:szCs w:val="28"/>
        </w:rPr>
        <w:t xml:space="preserve"> giai </w:t>
      </w:r>
      <w:r w:rsidR="0071079F">
        <w:rPr>
          <w:sz w:val="28"/>
          <w:szCs w:val="28"/>
        </w:rPr>
        <w:t xml:space="preserve">đoạn </w:t>
      </w:r>
      <w:r w:rsidR="0098305F">
        <w:rPr>
          <w:sz w:val="28"/>
          <w:szCs w:val="28"/>
        </w:rPr>
        <w:t>2011-2016</w:t>
      </w:r>
      <w:r w:rsidR="00166AD8">
        <w:rPr>
          <w:sz w:val="28"/>
          <w:szCs w:val="28"/>
        </w:rPr>
        <w:t xml:space="preserve"> của Bộ Công Thương </w:t>
      </w:r>
      <w:r w:rsidR="0071079F">
        <w:rPr>
          <w:sz w:val="28"/>
          <w:szCs w:val="28"/>
        </w:rPr>
        <w:t>để tổng hợp và báo cáo Lãnh đạo Bộ</w:t>
      </w:r>
      <w:proofErr w:type="gramStart"/>
      <w:r w:rsidR="0071079F">
        <w:rPr>
          <w:sz w:val="28"/>
          <w:szCs w:val="28"/>
        </w:rPr>
        <w:t>./</w:t>
      </w:r>
      <w:proofErr w:type="gramEnd"/>
      <w:r w:rsidR="0071079F">
        <w:rPr>
          <w:sz w:val="28"/>
          <w:szCs w:val="28"/>
        </w:rPr>
        <w:t>.</w:t>
      </w:r>
      <w:r w:rsidR="00166AD8">
        <w:rPr>
          <w:sz w:val="28"/>
          <w:szCs w:val="28"/>
        </w:rPr>
        <w:t xml:space="preserve"> </w:t>
      </w:r>
      <w:r>
        <w:rPr>
          <w:sz w:val="28"/>
          <w:szCs w:val="28"/>
        </w:rPr>
        <w:t xml:space="preserve"> </w:t>
      </w:r>
      <w:r w:rsidR="00747E81">
        <w:rPr>
          <w:sz w:val="28"/>
          <w:szCs w:val="28"/>
        </w:rPr>
        <w:t xml:space="preserve"> </w:t>
      </w:r>
    </w:p>
    <w:p w:rsidR="001F7E21" w:rsidRDefault="001F7E21" w:rsidP="00884952">
      <w:pPr>
        <w:spacing w:before="120" w:after="0" w:line="240" w:lineRule="auto"/>
        <w:ind w:firstLine="567"/>
        <w:jc w:val="both"/>
        <w:rPr>
          <w:sz w:val="28"/>
          <w:szCs w:val="28"/>
        </w:rPr>
      </w:pPr>
    </w:p>
    <w:p w:rsidR="00034D1C" w:rsidRDefault="00034D1C" w:rsidP="00884952">
      <w:pPr>
        <w:spacing w:before="120" w:after="0" w:line="240" w:lineRule="auto"/>
        <w:ind w:firstLine="567"/>
        <w:jc w:val="both"/>
        <w:rPr>
          <w:sz w:val="28"/>
          <w:szCs w:val="28"/>
        </w:rPr>
      </w:pPr>
    </w:p>
    <w:p w:rsidR="00034D1C" w:rsidRPr="00034D1C" w:rsidRDefault="00034D1C" w:rsidP="00034D1C">
      <w:pPr>
        <w:spacing w:after="0" w:line="240" w:lineRule="auto"/>
        <w:ind w:firstLine="567"/>
        <w:jc w:val="both"/>
        <w:rPr>
          <w:b/>
          <w:sz w:val="28"/>
          <w:szCs w:val="28"/>
        </w:rPr>
      </w:pPr>
      <w:r>
        <w:rPr>
          <w:b/>
          <w:sz w:val="28"/>
          <w:szCs w:val="28"/>
        </w:rPr>
        <w:t xml:space="preserve">                                                                   </w:t>
      </w:r>
      <w:r w:rsidRPr="00034D1C">
        <w:rPr>
          <w:b/>
          <w:sz w:val="28"/>
          <w:szCs w:val="28"/>
        </w:rPr>
        <w:t>VỤ TRƯỞNG</w:t>
      </w:r>
    </w:p>
    <w:p w:rsidR="00034D1C" w:rsidRPr="000073EE" w:rsidRDefault="00034D1C" w:rsidP="00034D1C">
      <w:pPr>
        <w:spacing w:after="0" w:line="240" w:lineRule="auto"/>
        <w:jc w:val="both"/>
        <w:rPr>
          <w:b/>
          <w:i/>
          <w:sz w:val="24"/>
          <w:szCs w:val="24"/>
          <w:u w:val="single"/>
        </w:rPr>
      </w:pPr>
      <w:r w:rsidRPr="000073EE">
        <w:rPr>
          <w:b/>
          <w:i/>
          <w:sz w:val="24"/>
          <w:szCs w:val="24"/>
          <w:u w:val="single"/>
        </w:rPr>
        <w:t>Nơi nhận:</w:t>
      </w:r>
    </w:p>
    <w:p w:rsidR="00034D1C" w:rsidRPr="000073EE" w:rsidRDefault="00034D1C" w:rsidP="000073EE">
      <w:pPr>
        <w:pStyle w:val="ListParagraph"/>
        <w:numPr>
          <w:ilvl w:val="0"/>
          <w:numId w:val="1"/>
        </w:numPr>
        <w:spacing w:after="0" w:line="240" w:lineRule="auto"/>
        <w:ind w:left="426" w:hanging="284"/>
        <w:jc w:val="both"/>
        <w:rPr>
          <w:sz w:val="24"/>
          <w:szCs w:val="24"/>
        </w:rPr>
      </w:pPr>
      <w:r w:rsidRPr="000073EE">
        <w:rPr>
          <w:sz w:val="24"/>
          <w:szCs w:val="24"/>
        </w:rPr>
        <w:t>Như trên;</w:t>
      </w:r>
    </w:p>
    <w:p w:rsidR="00034D1C" w:rsidRPr="000073EE" w:rsidRDefault="00034D1C" w:rsidP="000073EE">
      <w:pPr>
        <w:pStyle w:val="ListParagraph"/>
        <w:numPr>
          <w:ilvl w:val="0"/>
          <w:numId w:val="1"/>
        </w:numPr>
        <w:spacing w:after="0" w:line="240" w:lineRule="auto"/>
        <w:ind w:left="426" w:hanging="284"/>
        <w:jc w:val="both"/>
        <w:rPr>
          <w:sz w:val="24"/>
          <w:szCs w:val="24"/>
        </w:rPr>
      </w:pPr>
      <w:r w:rsidRPr="000073EE">
        <w:rPr>
          <w:sz w:val="24"/>
          <w:szCs w:val="24"/>
        </w:rPr>
        <w:t>Lưu: KHCN, ATTP.</w:t>
      </w:r>
    </w:p>
    <w:p w:rsidR="00034D1C" w:rsidRPr="000073EE" w:rsidRDefault="00034D1C" w:rsidP="00034D1C">
      <w:pPr>
        <w:spacing w:after="0" w:line="240" w:lineRule="auto"/>
        <w:jc w:val="both"/>
        <w:rPr>
          <w:sz w:val="24"/>
          <w:szCs w:val="24"/>
        </w:rPr>
      </w:pPr>
    </w:p>
    <w:p w:rsidR="00034D1C" w:rsidRDefault="00034D1C" w:rsidP="00034D1C">
      <w:pPr>
        <w:spacing w:after="0" w:line="240" w:lineRule="auto"/>
        <w:jc w:val="both"/>
        <w:rPr>
          <w:sz w:val="28"/>
          <w:szCs w:val="28"/>
        </w:rPr>
      </w:pPr>
    </w:p>
    <w:p w:rsidR="00034D1C" w:rsidRDefault="00034D1C" w:rsidP="00034D1C">
      <w:pPr>
        <w:spacing w:after="0" w:line="240" w:lineRule="auto"/>
        <w:jc w:val="both"/>
        <w:rPr>
          <w:b/>
          <w:sz w:val="28"/>
          <w:szCs w:val="28"/>
        </w:rPr>
      </w:pPr>
    </w:p>
    <w:p w:rsidR="00CE3667" w:rsidRDefault="00034D1C" w:rsidP="00034D1C">
      <w:pPr>
        <w:spacing w:after="0" w:line="240" w:lineRule="auto"/>
        <w:jc w:val="both"/>
        <w:rPr>
          <w:b/>
          <w:sz w:val="28"/>
          <w:szCs w:val="28"/>
        </w:rPr>
      </w:pPr>
      <w:r>
        <w:rPr>
          <w:b/>
          <w:sz w:val="28"/>
          <w:szCs w:val="28"/>
        </w:rPr>
        <w:t xml:space="preserve">                                                                     </w:t>
      </w:r>
    </w:p>
    <w:p w:rsidR="00034D1C" w:rsidRPr="00034D1C" w:rsidRDefault="00CE3667" w:rsidP="00034D1C">
      <w:pPr>
        <w:spacing w:after="0" w:line="240" w:lineRule="auto"/>
        <w:jc w:val="both"/>
        <w:rPr>
          <w:b/>
          <w:sz w:val="28"/>
          <w:szCs w:val="28"/>
        </w:rPr>
      </w:pPr>
      <w:r>
        <w:rPr>
          <w:b/>
          <w:sz w:val="28"/>
          <w:szCs w:val="28"/>
        </w:rPr>
        <w:t xml:space="preserve">                                                                      </w:t>
      </w:r>
      <w:r w:rsidR="00034D1C" w:rsidRPr="00034D1C">
        <w:rPr>
          <w:b/>
          <w:sz w:val="28"/>
          <w:szCs w:val="28"/>
        </w:rPr>
        <w:t>Nguyễn Phú Cường</w:t>
      </w:r>
    </w:p>
    <w:sectPr w:rsidR="00034D1C" w:rsidRPr="00034D1C" w:rsidSect="00362A2E">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4E1E92"/>
    <w:multiLevelType w:val="hybridMultilevel"/>
    <w:tmpl w:val="78B890D8"/>
    <w:lvl w:ilvl="0" w:tplc="25E079B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grammar="clean"/>
  <w:defaultTabStop w:val="720"/>
  <w:drawingGridHorizontalSpacing w:val="110"/>
  <w:displayHorizontalDrawingGridEvery w:val="2"/>
  <w:displayVerticalDrawingGridEvery w:val="2"/>
  <w:characterSpacingControl w:val="doNotCompress"/>
  <w:compat/>
  <w:rsids>
    <w:rsidRoot w:val="00E55849"/>
    <w:rsid w:val="000013E4"/>
    <w:rsid w:val="000057ED"/>
    <w:rsid w:val="000073EE"/>
    <w:rsid w:val="00026049"/>
    <w:rsid w:val="00034D1C"/>
    <w:rsid w:val="00080041"/>
    <w:rsid w:val="000C035A"/>
    <w:rsid w:val="000C13B1"/>
    <w:rsid w:val="0010311F"/>
    <w:rsid w:val="001243B8"/>
    <w:rsid w:val="00166AD8"/>
    <w:rsid w:val="001938DA"/>
    <w:rsid w:val="001D68FA"/>
    <w:rsid w:val="001F7E21"/>
    <w:rsid w:val="0021084A"/>
    <w:rsid w:val="00215466"/>
    <w:rsid w:val="0024101F"/>
    <w:rsid w:val="0028501F"/>
    <w:rsid w:val="00296F0E"/>
    <w:rsid w:val="002D7310"/>
    <w:rsid w:val="00362A2E"/>
    <w:rsid w:val="0037276B"/>
    <w:rsid w:val="00392B00"/>
    <w:rsid w:val="0039492A"/>
    <w:rsid w:val="003A5634"/>
    <w:rsid w:val="003B56C8"/>
    <w:rsid w:val="003C2567"/>
    <w:rsid w:val="003D1493"/>
    <w:rsid w:val="003F6C3C"/>
    <w:rsid w:val="00411CE5"/>
    <w:rsid w:val="004624D0"/>
    <w:rsid w:val="00463C3C"/>
    <w:rsid w:val="004711E5"/>
    <w:rsid w:val="00495C80"/>
    <w:rsid w:val="004A4E05"/>
    <w:rsid w:val="004C2BB2"/>
    <w:rsid w:val="004E0EDA"/>
    <w:rsid w:val="004E1D42"/>
    <w:rsid w:val="00527937"/>
    <w:rsid w:val="00554D2A"/>
    <w:rsid w:val="00560031"/>
    <w:rsid w:val="0057214A"/>
    <w:rsid w:val="00590A08"/>
    <w:rsid w:val="005D0FA7"/>
    <w:rsid w:val="006068E0"/>
    <w:rsid w:val="00611526"/>
    <w:rsid w:val="00623882"/>
    <w:rsid w:val="006457CE"/>
    <w:rsid w:val="006C2C8E"/>
    <w:rsid w:val="007067AF"/>
    <w:rsid w:val="0071079F"/>
    <w:rsid w:val="00747E81"/>
    <w:rsid w:val="00777634"/>
    <w:rsid w:val="007804C9"/>
    <w:rsid w:val="007A2E04"/>
    <w:rsid w:val="007B3ECB"/>
    <w:rsid w:val="007C6FBB"/>
    <w:rsid w:val="008027B8"/>
    <w:rsid w:val="00884952"/>
    <w:rsid w:val="0090700B"/>
    <w:rsid w:val="009314AE"/>
    <w:rsid w:val="00933CC9"/>
    <w:rsid w:val="00961154"/>
    <w:rsid w:val="00973319"/>
    <w:rsid w:val="0098305F"/>
    <w:rsid w:val="009A037A"/>
    <w:rsid w:val="009D6A49"/>
    <w:rsid w:val="009F7978"/>
    <w:rsid w:val="00A03B5E"/>
    <w:rsid w:val="00A97E9F"/>
    <w:rsid w:val="00AA7D7E"/>
    <w:rsid w:val="00AE169D"/>
    <w:rsid w:val="00AF377B"/>
    <w:rsid w:val="00B051D5"/>
    <w:rsid w:val="00B141BB"/>
    <w:rsid w:val="00B67C73"/>
    <w:rsid w:val="00BD1ACE"/>
    <w:rsid w:val="00C56022"/>
    <w:rsid w:val="00CB24E3"/>
    <w:rsid w:val="00CE3667"/>
    <w:rsid w:val="00D06AC2"/>
    <w:rsid w:val="00D22446"/>
    <w:rsid w:val="00D85045"/>
    <w:rsid w:val="00D86165"/>
    <w:rsid w:val="00D9440E"/>
    <w:rsid w:val="00DA5A14"/>
    <w:rsid w:val="00E46190"/>
    <w:rsid w:val="00E55849"/>
    <w:rsid w:val="00E648B4"/>
    <w:rsid w:val="00E846EC"/>
    <w:rsid w:val="00EB1A1E"/>
    <w:rsid w:val="00EC702A"/>
    <w:rsid w:val="00F0096D"/>
    <w:rsid w:val="00F0387D"/>
    <w:rsid w:val="00F15700"/>
    <w:rsid w:val="00F46396"/>
    <w:rsid w:val="00F96CA5"/>
    <w:rsid w:val="00FF2C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40E"/>
  </w:style>
  <w:style w:type="paragraph" w:styleId="Heading2">
    <w:name w:val="heading 2"/>
    <w:basedOn w:val="Normal"/>
    <w:next w:val="Normal"/>
    <w:link w:val="Heading2Char"/>
    <w:qFormat/>
    <w:rsid w:val="00554D2A"/>
    <w:pPr>
      <w:keepNext/>
      <w:spacing w:after="0" w:line="240" w:lineRule="auto"/>
      <w:jc w:val="center"/>
      <w:outlineLvl w:val="1"/>
    </w:pPr>
    <w:rPr>
      <w:rFonts w:ascii=".VnTimeH" w:eastAsia="Times New Roman"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55849"/>
    <w:pPr>
      <w:spacing w:after="120" w:line="480" w:lineRule="auto"/>
    </w:pPr>
    <w:rPr>
      <w:rFonts w:eastAsia="Times New Roman"/>
      <w:sz w:val="24"/>
      <w:szCs w:val="24"/>
    </w:rPr>
  </w:style>
  <w:style w:type="character" w:customStyle="1" w:styleId="BodyText2Char">
    <w:name w:val="Body Text 2 Char"/>
    <w:basedOn w:val="DefaultParagraphFont"/>
    <w:link w:val="BodyText2"/>
    <w:semiHidden/>
    <w:rsid w:val="00E55849"/>
    <w:rPr>
      <w:rFonts w:eastAsia="Times New Roman"/>
      <w:sz w:val="24"/>
      <w:szCs w:val="24"/>
    </w:rPr>
  </w:style>
  <w:style w:type="paragraph" w:styleId="ListParagraph">
    <w:name w:val="List Paragraph"/>
    <w:basedOn w:val="Normal"/>
    <w:uiPriority w:val="34"/>
    <w:qFormat/>
    <w:rsid w:val="00E55849"/>
    <w:pPr>
      <w:ind w:left="720"/>
      <w:contextualSpacing/>
    </w:pPr>
  </w:style>
  <w:style w:type="character" w:customStyle="1" w:styleId="Heading2Char">
    <w:name w:val="Heading 2 Char"/>
    <w:basedOn w:val="DefaultParagraphFont"/>
    <w:link w:val="Heading2"/>
    <w:rsid w:val="00554D2A"/>
    <w:rPr>
      <w:rFonts w:ascii=".VnTimeH" w:eastAsia="Times New Roman" w:hAnsi=".VnTimeH"/>
      <w:b/>
      <w:szCs w:val="20"/>
    </w:rPr>
  </w:style>
</w:styles>
</file>

<file path=word/webSettings.xml><?xml version="1.0" encoding="utf-8"?>
<w:webSettings xmlns:r="http://schemas.openxmlformats.org/officeDocument/2006/relationships" xmlns:w="http://schemas.openxmlformats.org/wordprocessingml/2006/main">
  <w:divs>
    <w:div w:id="135962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CB9B8C-F082-4415-A408-837B481151FC}"/>
</file>

<file path=customXml/itemProps2.xml><?xml version="1.0" encoding="utf-8"?>
<ds:datastoreItem xmlns:ds="http://schemas.openxmlformats.org/officeDocument/2006/customXml" ds:itemID="{CEBB8670-D707-4D62-ACCF-EA34A13A5407}"/>
</file>

<file path=customXml/itemProps3.xml><?xml version="1.0" encoding="utf-8"?>
<ds:datastoreItem xmlns:ds="http://schemas.openxmlformats.org/officeDocument/2006/customXml" ds:itemID="{329845AB-BD16-4CAB-BF86-D51B88358C4A}"/>
</file>

<file path=customXml/itemProps4.xml><?xml version="1.0" encoding="utf-8"?>
<ds:datastoreItem xmlns:ds="http://schemas.openxmlformats.org/officeDocument/2006/customXml" ds:itemID="{E6D45581-858E-4BEC-87E7-B61E14B4DEA0}"/>
</file>

<file path=docProps/app.xml><?xml version="1.0" encoding="utf-8"?>
<Properties xmlns="http://schemas.openxmlformats.org/officeDocument/2006/extended-properties" xmlns:vt="http://schemas.openxmlformats.org/officeDocument/2006/docPropsVTypes">
  <Template>Normal.dotm</Template>
  <TotalTime>109</TotalTime>
  <Pages>4</Pages>
  <Words>1452</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thaonq</dc:creator>
  <cp:lastModifiedBy>thaonq</cp:lastModifiedBy>
  <cp:revision>10</cp:revision>
  <cp:lastPrinted>2017-04-05T03:21:00Z</cp:lastPrinted>
  <dcterms:created xsi:type="dcterms:W3CDTF">2017-04-03T08:04:00Z</dcterms:created>
  <dcterms:modified xsi:type="dcterms:W3CDTF">2017-04-10T10:59:00Z</dcterms:modified>
</cp:coreProperties>
</file>